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48A1" w14:textId="7F431664" w:rsidR="00BC77E9" w:rsidRDefault="00F936CD" w:rsidP="00F936CD">
      <w:pPr>
        <w:pStyle w:val="Title"/>
      </w:pPr>
      <w:r>
        <w:t>Sample Fire Risk Assessment</w:t>
      </w:r>
    </w:p>
    <w:p w14:paraId="4BBEE82C" w14:textId="75DDC4E9" w:rsidR="00F936CD" w:rsidRDefault="00F936CD" w:rsidP="00F936CD"/>
    <w:tbl>
      <w:tblPr>
        <w:tblStyle w:val="TableGrid"/>
        <w:tblW w:w="5000" w:type="pct"/>
        <w:tblLook w:val="04A0" w:firstRow="1" w:lastRow="0" w:firstColumn="1" w:lastColumn="0" w:noHBand="0" w:noVBand="1"/>
      </w:tblPr>
      <w:tblGrid>
        <w:gridCol w:w="1111"/>
        <w:gridCol w:w="1701"/>
        <w:gridCol w:w="1145"/>
        <w:gridCol w:w="1436"/>
        <w:gridCol w:w="1061"/>
        <w:gridCol w:w="978"/>
        <w:gridCol w:w="5377"/>
        <w:gridCol w:w="1139"/>
      </w:tblGrid>
      <w:tr w:rsidR="00F936CD" w:rsidRPr="00F936CD" w14:paraId="6945CE40" w14:textId="77777777" w:rsidTr="00F936CD">
        <w:tc>
          <w:tcPr>
            <w:tcW w:w="0" w:type="auto"/>
            <w:hideMark/>
          </w:tcPr>
          <w:p w14:paraId="3A59443A"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Hazard</w:t>
            </w:r>
          </w:p>
        </w:tc>
        <w:tc>
          <w:tcPr>
            <w:tcW w:w="0" w:type="auto"/>
            <w:hideMark/>
          </w:tcPr>
          <w:p w14:paraId="0D9B42BC"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Identify risk</w:t>
            </w:r>
          </w:p>
        </w:tc>
        <w:tc>
          <w:tcPr>
            <w:tcW w:w="0" w:type="auto"/>
            <w:hideMark/>
          </w:tcPr>
          <w:p w14:paraId="185BEA1C" w14:textId="77777777" w:rsidR="00F936CD" w:rsidRPr="00F936CD" w:rsidRDefault="00F936CD" w:rsidP="00F936CD">
            <w:pPr>
              <w:textAlignment w:val="baseline"/>
              <w:rPr>
                <w:rFonts w:eastAsia="Times New Roman" w:cstheme="minorHAnsi"/>
                <w:b/>
                <w:bCs/>
                <w:sz w:val="24"/>
                <w:szCs w:val="24"/>
                <w:lang w:eastAsia="en-GB"/>
              </w:rPr>
            </w:pPr>
            <w:proofErr w:type="spellStart"/>
            <w:proofErr w:type="gramStart"/>
            <w:r w:rsidRPr="00F936CD">
              <w:rPr>
                <w:rFonts w:eastAsia="Times New Roman" w:cstheme="minorHAnsi"/>
                <w:b/>
                <w:bCs/>
                <w:sz w:val="24"/>
                <w:szCs w:val="24"/>
                <w:lang w:eastAsia="en-GB"/>
              </w:rPr>
              <w:t>No.s</w:t>
            </w:r>
            <w:proofErr w:type="spellEnd"/>
            <w:proofErr w:type="gramEnd"/>
            <w:r w:rsidRPr="00F936CD">
              <w:rPr>
                <w:rFonts w:eastAsia="Times New Roman" w:cstheme="minorHAnsi"/>
                <w:b/>
                <w:bCs/>
                <w:sz w:val="24"/>
                <w:szCs w:val="24"/>
                <w:lang w:eastAsia="en-GB"/>
              </w:rPr>
              <w:t xml:space="preserve"> exposed</w:t>
            </w:r>
          </w:p>
        </w:tc>
        <w:tc>
          <w:tcPr>
            <w:tcW w:w="0" w:type="auto"/>
            <w:hideMark/>
          </w:tcPr>
          <w:p w14:paraId="1930F669"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Probable frequency A</w:t>
            </w:r>
          </w:p>
        </w:tc>
        <w:tc>
          <w:tcPr>
            <w:tcW w:w="0" w:type="auto"/>
            <w:hideMark/>
          </w:tcPr>
          <w:p w14:paraId="0669E381"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Severity B</w:t>
            </w:r>
          </w:p>
        </w:tc>
        <w:tc>
          <w:tcPr>
            <w:tcW w:w="0" w:type="auto"/>
            <w:hideMark/>
          </w:tcPr>
          <w:p w14:paraId="274978AC"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Risk rating AXB</w:t>
            </w:r>
          </w:p>
        </w:tc>
        <w:tc>
          <w:tcPr>
            <w:tcW w:w="0" w:type="auto"/>
            <w:hideMark/>
          </w:tcPr>
          <w:p w14:paraId="48A729C9"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Required action</w:t>
            </w:r>
          </w:p>
        </w:tc>
        <w:tc>
          <w:tcPr>
            <w:tcW w:w="0" w:type="auto"/>
            <w:hideMark/>
          </w:tcPr>
          <w:p w14:paraId="4FFAF2EA" w14:textId="77777777" w:rsidR="00F936CD" w:rsidRPr="00F936CD" w:rsidRDefault="00F936CD" w:rsidP="00F936CD">
            <w:pPr>
              <w:textAlignment w:val="baseline"/>
              <w:rPr>
                <w:rFonts w:eastAsia="Times New Roman" w:cstheme="minorHAnsi"/>
                <w:b/>
                <w:bCs/>
                <w:sz w:val="24"/>
                <w:szCs w:val="24"/>
                <w:lang w:eastAsia="en-GB"/>
              </w:rPr>
            </w:pPr>
            <w:r w:rsidRPr="00F936CD">
              <w:rPr>
                <w:rFonts w:eastAsia="Times New Roman" w:cstheme="minorHAnsi"/>
                <w:b/>
                <w:bCs/>
                <w:sz w:val="24"/>
                <w:szCs w:val="24"/>
                <w:lang w:eastAsia="en-GB"/>
              </w:rPr>
              <w:t>Residual risk</w:t>
            </w:r>
          </w:p>
        </w:tc>
      </w:tr>
      <w:tr w:rsidR="00F936CD" w:rsidRPr="00F936CD" w14:paraId="344A7BF3" w14:textId="77777777" w:rsidTr="00F936CD">
        <w:tc>
          <w:tcPr>
            <w:tcW w:w="0" w:type="auto"/>
            <w:hideMark/>
          </w:tcPr>
          <w:p w14:paraId="360665E3"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Marquee</w:t>
            </w:r>
          </w:p>
        </w:tc>
        <w:tc>
          <w:tcPr>
            <w:tcW w:w="0" w:type="auto"/>
            <w:hideMark/>
          </w:tcPr>
          <w:p w14:paraId="2E7F79E0"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Temporary structure catching fire</w:t>
            </w:r>
          </w:p>
        </w:tc>
        <w:tc>
          <w:tcPr>
            <w:tcW w:w="0" w:type="auto"/>
            <w:hideMark/>
          </w:tcPr>
          <w:p w14:paraId="6B7359FE"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up 480</w:t>
            </w:r>
          </w:p>
        </w:tc>
        <w:tc>
          <w:tcPr>
            <w:tcW w:w="0" w:type="auto"/>
            <w:hideMark/>
          </w:tcPr>
          <w:p w14:paraId="43505A63"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2</w:t>
            </w:r>
          </w:p>
        </w:tc>
        <w:tc>
          <w:tcPr>
            <w:tcW w:w="0" w:type="auto"/>
            <w:hideMark/>
          </w:tcPr>
          <w:p w14:paraId="7CA85E34"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4</w:t>
            </w:r>
          </w:p>
        </w:tc>
        <w:tc>
          <w:tcPr>
            <w:tcW w:w="0" w:type="auto"/>
            <w:hideMark/>
          </w:tcPr>
          <w:p w14:paraId="6232F3B7"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8</w:t>
            </w:r>
          </w:p>
        </w:tc>
        <w:tc>
          <w:tcPr>
            <w:tcW w:w="0" w:type="auto"/>
            <w:hideMark/>
          </w:tcPr>
          <w:p w14:paraId="57BC9303"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Emergency evacuation procedure to be part of staff briefing. Appropriate fire extinguishers to be available at fire points at each exit. All marquee material to be flame retardant to BS 7837:1996 and have certificate to prove so</w:t>
            </w:r>
          </w:p>
        </w:tc>
        <w:tc>
          <w:tcPr>
            <w:tcW w:w="0" w:type="auto"/>
            <w:hideMark/>
          </w:tcPr>
          <w:p w14:paraId="7860CAA1" w14:textId="77777777" w:rsidR="00F936CD" w:rsidRPr="00F936CD" w:rsidRDefault="00F936CD" w:rsidP="00F936CD">
            <w:pPr>
              <w:textAlignment w:val="baseline"/>
              <w:rPr>
                <w:rFonts w:eastAsia="Times New Roman" w:cstheme="minorHAnsi"/>
                <w:color w:val="4A4A4A"/>
                <w:sz w:val="24"/>
                <w:szCs w:val="24"/>
                <w:lang w:eastAsia="en-GB"/>
              </w:rPr>
            </w:pPr>
            <w:r w:rsidRPr="00F936CD">
              <w:rPr>
                <w:rFonts w:eastAsia="Times New Roman" w:cstheme="minorHAnsi"/>
                <w:color w:val="4A4A4A"/>
                <w:sz w:val="24"/>
                <w:szCs w:val="24"/>
                <w:lang w:eastAsia="en-GB"/>
              </w:rPr>
              <w:t>6</w:t>
            </w:r>
          </w:p>
        </w:tc>
      </w:tr>
    </w:tbl>
    <w:p w14:paraId="57D8122F" w14:textId="77777777" w:rsidR="00F936CD" w:rsidRPr="00F936CD" w:rsidRDefault="00F936CD" w:rsidP="00F936CD"/>
    <w:sectPr w:rsidR="00F936CD" w:rsidRPr="00F936CD" w:rsidSect="00F936CD">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A39C" w14:textId="77777777" w:rsidR="00F936CD" w:rsidRDefault="00F936CD" w:rsidP="00F936CD">
      <w:pPr>
        <w:spacing w:after="0" w:line="240" w:lineRule="auto"/>
      </w:pPr>
      <w:r>
        <w:separator/>
      </w:r>
    </w:p>
  </w:endnote>
  <w:endnote w:type="continuationSeparator" w:id="0">
    <w:p w14:paraId="492032D4" w14:textId="77777777" w:rsidR="00F936CD" w:rsidRDefault="00F936CD" w:rsidP="00F9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5100" w14:textId="77777777" w:rsidR="00F936CD" w:rsidRDefault="00F93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A453" w14:textId="77777777" w:rsidR="00F936CD" w:rsidRDefault="00F93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F3FE" w14:textId="77777777" w:rsidR="00F936CD" w:rsidRDefault="00F93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ACDC" w14:textId="77777777" w:rsidR="00F936CD" w:rsidRDefault="00F936CD" w:rsidP="00F936CD">
      <w:pPr>
        <w:spacing w:after="0" w:line="240" w:lineRule="auto"/>
      </w:pPr>
      <w:r>
        <w:separator/>
      </w:r>
    </w:p>
  </w:footnote>
  <w:footnote w:type="continuationSeparator" w:id="0">
    <w:p w14:paraId="682FE567" w14:textId="77777777" w:rsidR="00F936CD" w:rsidRDefault="00F936CD" w:rsidP="00F9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E283" w14:textId="77777777" w:rsidR="00F936CD" w:rsidRDefault="00F93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9B20" w14:textId="4DC220B4" w:rsidR="00F936CD" w:rsidRDefault="00F936CD">
    <w:pPr>
      <w:pStyle w:val="Header"/>
    </w:pPr>
    <w:r>
      <w:rPr>
        <w:noProof/>
      </w:rPr>
      <mc:AlternateContent>
        <mc:Choice Requires="wps">
          <w:drawing>
            <wp:anchor distT="0" distB="0" distL="114300" distR="114300" simplePos="0" relativeHeight="251659264" behindDoc="0" locked="0" layoutInCell="0" allowOverlap="1" wp14:anchorId="2B6D7E9F" wp14:editId="6CF114AE">
              <wp:simplePos x="0" y="0"/>
              <wp:positionH relativeFrom="page">
                <wp:posOffset>0</wp:posOffset>
              </wp:positionH>
              <wp:positionV relativeFrom="page">
                <wp:posOffset>190500</wp:posOffset>
              </wp:positionV>
              <wp:extent cx="10692130" cy="273050"/>
              <wp:effectExtent l="0" t="0" r="0" b="12700"/>
              <wp:wrapNone/>
              <wp:docPr id="1" name="MSIPCMa06141f581979582180a77f9"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BFEF5" w14:textId="533A741A" w:rsidR="00F936CD" w:rsidRPr="00F936CD" w:rsidRDefault="00F936CD" w:rsidP="00F936CD">
                          <w:pPr>
                            <w:spacing w:after="0"/>
                            <w:rPr>
                              <w:rFonts w:ascii="Calibri" w:hAnsi="Calibri" w:cs="Calibri"/>
                              <w:color w:val="000000"/>
                              <w:sz w:val="20"/>
                            </w:rPr>
                          </w:pPr>
                          <w:r w:rsidRPr="00F936CD">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B6D7E9F" id="_x0000_t202" coordsize="21600,21600" o:spt="202" path="m,l,21600r21600,l21600,xe">
              <v:stroke joinstyle="miter"/>
              <v:path gradientshapeok="t" o:connecttype="rect"/>
            </v:shapetype>
            <v:shape id="MSIPCMa06141f581979582180a77f9" o:spid="_x0000_s1026" type="#_x0000_t202" alt="{&quot;HashCode&quot;:1844345984,&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" o:allowincell="f" filled="f" stroked="f" strokeweight=".5pt">
              <v:fill o:detectmouseclick="t"/>
              <v:textbox inset="20pt,0,,0">
                <w:txbxContent>
                  <w:p w14:paraId="1A6BFEF5" w14:textId="533A741A" w:rsidR="00F936CD" w:rsidRPr="00F936CD" w:rsidRDefault="00F936CD" w:rsidP="00F936CD">
                    <w:pPr>
                      <w:spacing w:after="0"/>
                      <w:rPr>
                        <w:rFonts w:ascii="Calibri" w:hAnsi="Calibri" w:cs="Calibri"/>
                        <w:color w:val="000000"/>
                        <w:sz w:val="20"/>
                      </w:rPr>
                    </w:pPr>
                    <w:r w:rsidRPr="00F936CD">
                      <w:rPr>
                        <w:rFonts w:ascii="Calibri" w:hAnsi="Calibri" w:cs="Calibri"/>
                        <w:color w:val="000000"/>
                        <w:sz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3222" w14:textId="77777777" w:rsidR="00F936CD" w:rsidRDefault="00F93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CD"/>
    <w:rsid w:val="00BC77E9"/>
    <w:rsid w:val="00F9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93D7"/>
  <w15:chartTrackingRefBased/>
  <w15:docId w15:val="{49C2B299-C817-4937-8539-01B707E1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6C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936C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9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6CD"/>
  </w:style>
  <w:style w:type="paragraph" w:styleId="Footer">
    <w:name w:val="footer"/>
    <w:basedOn w:val="Normal"/>
    <w:link w:val="FooterChar"/>
    <w:uiPriority w:val="99"/>
    <w:unhideWhenUsed/>
    <w:rsid w:val="00F93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Robinson</dc:creator>
  <cp:keywords/>
  <dc:description/>
  <cp:lastModifiedBy>Emily Robinson</cp:lastModifiedBy>
  <cp:revision>1</cp:revision>
  <dcterms:created xsi:type="dcterms:W3CDTF">2022-04-20T09:53:00Z</dcterms:created>
  <dcterms:modified xsi:type="dcterms:W3CDTF">2022-04-20T09:57:00Z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2022-04-20T09:56:43Z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2716da40-056f-4df0-a60c-58b9f7c60f75</vt:lpwstr>
  </property>
  <property fmtid="{D5CDD505-2E9C-101B-9397-08002B2CF9AE}" pid="8" name="MSIP_Label_b0959cb5-d6fa-43bd-af65-dd08ea55ea38_ContentBits">
    <vt:lpwstr>1</vt:lpwstr>
  </property>
</Properties>
</file>